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4"/>
        <w:keepNext/>
        <w:keepLines/>
        <w:widowControl w:val="0"/>
        <w:shd w:val="clear" w:color="auto" w:fill="auto"/>
        <w:bidi w:val="0"/>
        <w:spacing w:before="440" w:after="320" w:line="240" w:lineRule="auto"/>
        <w:ind w:left="0" w:right="0" w:firstLine="0"/>
        <w:jc w:val="center"/>
      </w:pPr>
      <w:bookmarkStart w:id="0" w:name="bookmark0"/>
      <w:bookmarkStart w:id="1" w:name="bookmark1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D-04.01.01</w:t>
      </w:r>
      <w:bookmarkEnd w:id="0"/>
      <w:bookmarkEnd w:id="1"/>
    </w:p>
    <w:p>
      <w:pPr>
        <w:pStyle w:val="Style4"/>
        <w:keepNext/>
        <w:keepLines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KORYTO WRAZ Z PROFILOWANIEM</w:t>
        <w:br/>
        <w:t>I ZAGĘSZCZANIEM PODŁOŻA</w:t>
      </w:r>
      <w:bookmarkEnd w:id="2"/>
      <w:bookmarkEnd w:id="3"/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20" w:val="left"/>
        </w:tabs>
        <w:bidi w:val="0"/>
        <w:spacing w:before="0" w:after="2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WSTĘP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69" w:val="left"/>
        </w:tabs>
        <w:bidi w:val="0"/>
        <w:spacing w:before="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Przedmiot ST</w:t>
      </w:r>
      <w:bookmarkEnd w:id="4"/>
      <w:bookmarkEnd w:id="5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Przedmiotem niniejszej ogólnej specyfikacji technicznej (ST) są wymagania dotyczące wykonania i odbioru robót związanych z wykonywaniem koryta wraz z profilowaniem i zagęszczaniem podłoża gruntowego.</w:t>
      </w:r>
    </w:p>
    <w:p>
      <w:pPr>
        <w:pStyle w:val="Style2"/>
        <w:keepNext w:val="0"/>
        <w:keepLines w:val="0"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after="1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Zakres stosowania ST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Specyfikacja techniczna (ST) stosowana jest jako dokument przetargowy i kontraktowy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Zakres robót objętych ST</w:t>
      </w:r>
      <w:bookmarkEnd w:id="6"/>
      <w:bookmarkEnd w:id="7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Ustalenia zawarte w niniejszej specyfikacji dotyczą zasad prowadzenia robót związanych z wykonaniem koryta przeznaczonego do ułożenia konstrukcji nawierzchni.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8" w:name="bookmark8"/>
      <w:bookmarkStart w:id="9" w:name="bookmark9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Określenia podstawowe</w:t>
      </w:r>
      <w:bookmarkEnd w:id="8"/>
      <w:bookmarkEnd w:id="9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Określenia podstawowe są zgodne z obowiązującymi, odpowiednimi polskimi normami i definicjami podanymi w ST D- M-00.00.00 „Wymagania ogólne” pkt 1.4.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10" w:name="bookmark10"/>
      <w:bookmarkStart w:id="11" w:name="bookmark11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wymagania dotyczące robót</w:t>
      </w:r>
      <w:bookmarkEnd w:id="10"/>
      <w:bookmarkEnd w:id="11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wymagania dotyczące robót podano w ST D-M-00.00.00 „Wymagania ogólne” pkt 1.5</w:t>
      </w:r>
    </w:p>
    <w:p>
      <w:pPr>
        <w:pStyle w:val="Style7"/>
        <w:keepNext/>
        <w:keepLines/>
        <w:widowControl w:val="0"/>
        <w:numPr>
          <w:ilvl w:val="0"/>
          <w:numId w:val="3"/>
        </w:numPr>
        <w:shd w:val="clear" w:color="auto" w:fill="auto"/>
        <w:tabs>
          <w:tab w:pos="334" w:val="left"/>
        </w:tabs>
        <w:bidi w:val="0"/>
        <w:spacing w:before="0" w:line="240" w:lineRule="auto"/>
        <w:ind w:left="0" w:right="0" w:firstLine="0"/>
        <w:jc w:val="left"/>
      </w:pPr>
      <w:bookmarkStart w:id="12" w:name="bookmark12"/>
      <w:bookmarkStart w:id="13" w:name="bookmark13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MATERIAŁY</w:t>
      </w:r>
      <w:bookmarkEnd w:id="12"/>
      <w:bookmarkEnd w:id="13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Nie występują.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34" w:val="left"/>
        </w:tabs>
        <w:bidi w:val="0"/>
        <w:spacing w:before="0" w:after="2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SPRZĘT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83" w:val="left"/>
        </w:tabs>
        <w:bidi w:val="0"/>
        <w:spacing w:before="0" w:line="240" w:lineRule="auto"/>
        <w:ind w:left="0" w:right="0" w:firstLine="0"/>
        <w:jc w:val="left"/>
      </w:pPr>
      <w:bookmarkStart w:id="14" w:name="bookmark14"/>
      <w:bookmarkStart w:id="15" w:name="bookmark15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wymagania dotyczące sprzętu</w:t>
      </w:r>
      <w:bookmarkEnd w:id="14"/>
      <w:bookmarkEnd w:id="15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wymagania dotyczące sprzętu podano w ST D-M-00.00.00 „Wymagania ogólne” pkt 3.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83" w:val="left"/>
        </w:tabs>
        <w:bidi w:val="0"/>
        <w:spacing w:before="0" w:line="240" w:lineRule="auto"/>
        <w:ind w:left="0" w:right="0" w:firstLine="0"/>
        <w:jc w:val="left"/>
      </w:pPr>
      <w:bookmarkStart w:id="16" w:name="bookmark16"/>
      <w:bookmarkStart w:id="17" w:name="bookmark17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Sprzęt do wykonania robót</w:t>
      </w:r>
      <w:bookmarkEnd w:id="16"/>
      <w:bookmarkEnd w:id="17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Wykonawca przystępujący do wykonania koryta i profilowania podłoża powinien wykazać się możliwością korzystania z następującego sprzętu: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1" w:val="left"/>
        </w:tabs>
        <w:bidi w:val="0"/>
        <w:spacing w:before="0" w:after="0" w:line="240" w:lineRule="auto"/>
        <w:ind w:left="300" w:right="0" w:hanging="3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koparek z czerpakami profilowymi (przy wykonywaniu wąskich koryt),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walców statycznych, wibracyjnych lub płyt wibracyjnych.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7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Stosowany sprzęt nie może spowodować niekorzystnego wpływu na właściwości gruntu podłoża.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34" w:val="left"/>
        </w:tabs>
        <w:bidi w:val="0"/>
        <w:spacing w:before="0" w:after="2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TRANSPORT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83" w:val="left"/>
        </w:tabs>
        <w:bidi w:val="0"/>
        <w:spacing w:before="0" w:line="240" w:lineRule="auto"/>
        <w:ind w:left="0" w:right="0" w:firstLine="0"/>
        <w:jc w:val="left"/>
      </w:pPr>
      <w:bookmarkStart w:id="18" w:name="bookmark18"/>
      <w:bookmarkStart w:id="19" w:name="bookmark19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wymagania dotyczące transportu</w:t>
      </w:r>
      <w:bookmarkEnd w:id="18"/>
      <w:bookmarkEnd w:id="19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wymagania dotyczące transportu podano w ST D-M-00.00.00 „Wymagania ogólne” pkt 4.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83" w:val="left"/>
        </w:tabs>
        <w:bidi w:val="0"/>
        <w:spacing w:before="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Transport materiałów</w:t>
      </w:r>
      <w:bookmarkEnd w:id="20"/>
      <w:bookmarkEnd w:id="21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Wymagania dotyczące transportu materiałów podano w ST D-04.02.01, D-04.02.02, D-04.03.01 pkt 4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10" w:val="left"/>
        </w:tabs>
        <w:bidi w:val="0"/>
        <w:spacing w:before="0" w:after="2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WYKONANIE ROBÓT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22" w:val="left"/>
        </w:tabs>
        <w:bidi w:val="0"/>
        <w:spacing w:before="0" w:line="240" w:lineRule="auto"/>
        <w:ind w:left="0" w:right="0" w:firstLine="0"/>
        <w:jc w:val="both"/>
      </w:pPr>
      <w:bookmarkStart w:id="22" w:name="bookmark22"/>
      <w:bookmarkStart w:id="23" w:name="bookmark23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zasady wykonania robót</w:t>
      </w:r>
      <w:bookmarkEnd w:id="22"/>
      <w:bookmarkEnd w:id="23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zasady wykonania robót podano w ST D-M-00.00.00 „Wymagania ogólne” pkt 5.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22" w:val="left"/>
        </w:tabs>
        <w:bidi w:val="0"/>
        <w:spacing w:before="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Warunki przystąpienia do robót</w:t>
      </w:r>
      <w:bookmarkEnd w:id="24"/>
      <w:bookmarkEnd w:id="25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Inżyniera, w korzystnych warunkach atmosfery czny ch.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 wykonanym korycie oraz po wyprofilowanym i zagęszczonym podłożu nie może odbywać się ruch budowlany, niezwiązany bezpośrednio z wykonaniem pierwszej warstwy nawierzchni.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22" w:val="left"/>
        </w:tabs>
        <w:bidi w:val="0"/>
        <w:spacing w:before="0" w:line="240" w:lineRule="auto"/>
        <w:ind w:left="0" w:right="0" w:firstLine="0"/>
        <w:jc w:val="both"/>
      </w:pPr>
      <w:bookmarkStart w:id="26" w:name="bookmark26"/>
      <w:bookmarkStart w:id="27" w:name="bookmark27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Wykonanie koryta</w:t>
      </w:r>
      <w:bookmarkEnd w:id="26"/>
      <w:bookmarkEnd w:id="27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Paliki lub szpilki do prawidłowego ukształtowania koryta w planie i profilu powinny być wcześniej przygotowane.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Rodzaj sprzętu, a w szczególności jego moc należy dostosować do rodzaju gruntu, w którym prowadzone są roboty i do trudności jego odspojenia.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Koryto można wykonywać ręcznie, gdy jego szerokość nie pozwala na zastosowanie maszyn, na przykład na poszerzeniach lub w przypadku robót o małym zakresie. Sposób wykonania musi być zaakceptowany przez Inżyniera.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Grunt odspojony w czasie wykonywania koryta powinien być wykorzystany zgodnie z ustaleniami dokumentacji projektowej i SST, tj. wbudowany w nasyp lub odwieziony na odkład w miejsce wskazane przez Inżyniera.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Profilowanie i zagęszczenie podłoża należy wykonać zgodnie z zasadami określonymi w pkt 5.4.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22" w:val="left"/>
        </w:tabs>
        <w:bidi w:val="0"/>
        <w:spacing w:before="0" w:line="240" w:lineRule="auto"/>
        <w:ind w:left="0" w:right="0" w:firstLine="0"/>
        <w:jc w:val="both"/>
      </w:pPr>
      <w:bookmarkStart w:id="28" w:name="bookmark28"/>
      <w:bookmarkStart w:id="29" w:name="bookmark29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Profilowanie i zagęszczanie podłoża</w:t>
      </w:r>
      <w:bookmarkEnd w:id="28"/>
      <w:bookmarkEnd w:id="29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Przed przystąpieniem do profilowania podłoże powinno być oczyszczone ze wszelkich zanieczyszczeń.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Do profilowania podłoża należy stosować równiarki. Ścięty grunt powinien być wykorzystany w robotach ziemnych lub w inny sposób zaakceptowany przez Inżyniera.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[5],</w:t>
      </w:r>
    </w:p>
    <w:p>
      <w:pPr>
        <w:pStyle w:val="Style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43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Tablica 1. Minimalne wartości wskaźnika zagęszczenia podłoża (I</w:t>
      </w:r>
      <w:r>
        <w:rPr>
          <w:color w:val="000000"/>
          <w:spacing w:val="0"/>
          <w:w w:val="100"/>
          <w:position w:val="0"/>
          <w:shd w:val="clear" w:color="auto" w:fill="auto"/>
          <w:vertAlign w:val="subscript"/>
          <w:lang w:val="pl-PL" w:eastAsia="pl-PL" w:bidi="pl-PL"/>
        </w:rPr>
        <w:t>s</w:t>
      </w: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)</w:t>
      </w:r>
    </w:p>
    <w:tbl>
      <w:tblPr>
        <w:tblOverlap w:val="never"/>
        <w:jc w:val="left"/>
        <w:tblLayout w:type="fixed"/>
      </w:tblPr>
      <w:tblGrid>
        <w:gridCol w:w="2784"/>
        <w:gridCol w:w="1502"/>
        <w:gridCol w:w="1459"/>
        <w:gridCol w:w="1474"/>
      </w:tblGrid>
      <w:tr>
        <w:trPr>
          <w:trHeight w:val="245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Strefa korpusu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Minimalna wartość I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vertAlign w:val="subscript"/>
                <w:lang w:val="pl-PL" w:eastAsia="pl-PL" w:bidi="pl-PL"/>
              </w:rPr>
              <w:t>s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 xml:space="preserve"> dla:</w:t>
            </w:r>
          </w:p>
        </w:tc>
      </w:tr>
      <w:tr>
        <w:trPr>
          <w:trHeight w:val="226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Autostrad i dróg ekspresowych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Innvch dróg</w:t>
            </w:r>
          </w:p>
        </w:tc>
      </w:tr>
      <w:tr>
        <w:trPr>
          <w:trHeight w:val="38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80" w:right="0" w:firstLine="0"/>
              <w:jc w:val="left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  <w:shd w:val="clear" w:color="auto" w:fill="auto"/>
                <w:lang w:val="pl-PL" w:eastAsia="pl-PL" w:bidi="pl-PL"/>
              </w:rPr>
              <w:t>Ruch ciężki i bardzo ciężki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  <w:shd w:val="clear" w:color="auto" w:fill="auto"/>
                <w:lang w:val="pl-PL" w:eastAsia="pl-PL" w:bidi="pl-PL"/>
              </w:rPr>
              <w:t>Ruch mniejszy od ciężkiego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Górna warstwa o grubości 20 cm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1,03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1,00</w:t>
            </w:r>
          </w:p>
        </w:tc>
      </w:tr>
      <w:tr>
        <w:trPr>
          <w:trHeight w:val="4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Na głębokości od 20 do 50 cm od powierzchni podłoża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1,00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0,97</w:t>
            </w:r>
          </w:p>
        </w:tc>
      </w:tr>
    </w:tbl>
    <w:p>
      <w:pPr>
        <w:widowControl w:val="0"/>
        <w:spacing w:after="219" w:line="1" w:lineRule="exact"/>
      </w:pP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[3], Stosunek wtórnego i pierwotnego modułu odkształcenia nie powinien przekraczać 2,2.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Wilgotność gruntu podłoża podczas zagęszczania powinna być równa wilgotności optymalnej z tolerancją od -20% do +10%.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27" w:val="left"/>
        </w:tabs>
        <w:bidi w:val="0"/>
        <w:spacing w:before="0" w:line="240" w:lineRule="auto"/>
        <w:ind w:left="0" w:right="0" w:firstLine="0"/>
        <w:jc w:val="both"/>
      </w:pPr>
      <w:bookmarkStart w:id="30" w:name="bookmark30"/>
      <w:bookmarkStart w:id="31" w:name="bookmark31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Utrzymanie koryta oraz wyprofilowanego i zagęszczonego podłoża</w:t>
      </w:r>
      <w:bookmarkEnd w:id="30"/>
      <w:bookmarkEnd w:id="31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Podłoże (koryto) po wyprofilowaniu i zagęszczeniu powinno być utrzymywane w dobrym stanie.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Jeżeli po wykonaniu robót związanych z profilowaniem i zagęszczeniem poatoza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Jeżeli wyprofilowane i zagęszczone podłoże uległo nadmiernemu zawilgoceniu, to do układania kolejnej warstwy można przystąpić dopiero po jego naturalnym osuszeniu.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Po osuszeniu podłoża Inżynier oceni jego stan i ewentualnie zaleci wykonanie niezbędnych napraw. Jeżeli zawilgocenie nastąpiło wskutek zaniedbania Wykonawcy, to naprawę wykona on na własny koszt.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432" w:val="left"/>
        </w:tabs>
        <w:bidi w:val="0"/>
        <w:spacing w:before="0" w:after="2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KONTROLA JAKOŚCI ROBÓT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32" w:name="bookmark32"/>
      <w:bookmarkStart w:id="33" w:name="bookmark33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zasady kontroli jakości robót</w:t>
      </w:r>
      <w:bookmarkEnd w:id="32"/>
      <w:bookmarkEnd w:id="33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zasady kontroli jakości robót podano w ST D-M-00.00.00 „Wymagania ogólne” pkt 6.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8" w:val="left"/>
        </w:tabs>
        <w:bidi w:val="0"/>
        <w:spacing w:before="0" w:line="240" w:lineRule="auto"/>
        <w:ind w:left="0" w:right="0" w:firstLine="0"/>
        <w:jc w:val="left"/>
      </w:pPr>
      <w:bookmarkStart w:id="34" w:name="bookmark34"/>
      <w:bookmarkStart w:id="35" w:name="bookmark35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Badania w czasie robót</w:t>
      </w:r>
      <w:bookmarkEnd w:id="34"/>
      <w:bookmarkEnd w:id="35"/>
    </w:p>
    <w:p>
      <w:pPr>
        <w:pStyle w:val="Style2"/>
        <w:keepNext w:val="0"/>
        <w:keepLines w:val="0"/>
        <w:widowControl w:val="0"/>
        <w:numPr>
          <w:ilvl w:val="2"/>
          <w:numId w:val="3"/>
        </w:numPr>
        <w:shd w:val="clear" w:color="auto" w:fill="auto"/>
        <w:tabs>
          <w:tab w:pos="622" w:val="left"/>
        </w:tabs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Częstotliwość oraz zakres badań i pomiarów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33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Częstotliwość oraz zakres badań i pomiarów dotyczących cech geometrycznych i zagęszczenia koryta i wyprofilowanego podłoża podaje tablica 2.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Tablica 2. Częstotliwość oraz zakres badań i pomiarów wykonanego koryta i wyprofilowanego podłoża</w:t>
      </w:r>
    </w:p>
    <w:tbl>
      <w:tblPr>
        <w:tblOverlap w:val="never"/>
        <w:jc w:val="left"/>
        <w:tblLayout w:type="fixed"/>
      </w:tblPr>
      <w:tblGrid>
        <w:gridCol w:w="485"/>
        <w:gridCol w:w="2160"/>
        <w:gridCol w:w="4531"/>
      </w:tblGrid>
      <w:tr>
        <w:trPr>
          <w:trHeight w:val="5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Lp.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Wyszczególnienie badań i pomiarów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Minimalna częstotliwość badań i pomiarów</w:t>
            </w:r>
          </w:p>
        </w:tc>
      </w:tr>
      <w:tr>
        <w:trPr>
          <w:trHeight w:val="3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Szerokość koryta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10 razy na 1 km</w:t>
            </w:r>
          </w:p>
        </w:tc>
      </w:tr>
      <w:tr>
        <w:trPr>
          <w:trHeight w:val="3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Równość podłużna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co 20 m na każdym pasie ruchu</w:t>
            </w:r>
          </w:p>
        </w:tc>
      </w:tr>
      <w:tr>
        <w:trPr>
          <w:trHeight w:val="3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Równość poprzeczna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10 razy na 1 km</w:t>
            </w:r>
          </w:p>
        </w:tc>
      </w:tr>
      <w:tr>
        <w:trPr>
          <w:trHeight w:val="3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Spadki poprzeczne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10 razy na 1 km</w:t>
            </w:r>
          </w:p>
        </w:tc>
      </w:tr>
      <w:tr>
        <w:trPr>
          <w:trHeight w:val="47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Rzędne wysokościowe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co 25 m w osi jezdni i na jej krawędziach dla autostrad i dróg ekspresowych, co 100 m dla pozostaKch dróg</w:t>
            </w:r>
          </w:p>
        </w:tc>
      </w:tr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 xml:space="preserve">Ukształtowanie osi w planie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vertAlign w:val="superscript"/>
                <w:lang w:val="pl-PL" w:eastAsia="pl-PL" w:bidi="pl-PL"/>
              </w:rPr>
              <w:t>ł)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co 25 m w osi jezdni i na jej krawędziach dla autostrad i dróg ekspresowych, co 100 m dla pozostałych dróg</w:t>
            </w:r>
          </w:p>
        </w:tc>
      </w:tr>
      <w:tr>
        <w:trPr>
          <w:trHeight w:val="5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Zagęszczenie, wilgotność gruntu podłoża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w 2 punktach na dziennej działce roboczej, lecz nie rzadziej niż raz na 600 m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vertAlign w:val="superscript"/>
                <w:lang w:val="pl-PL" w:eastAsia="pl-PL" w:bidi="pl-PL"/>
              </w:rPr>
              <w:t>2</w:t>
            </w:r>
          </w:p>
        </w:tc>
      </w:tr>
      <w:tr>
        <w:trPr>
          <w:trHeight w:val="542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pl-PL" w:eastAsia="pl-PL" w:bidi="pl-PL"/>
              </w:rPr>
              <w:t>*) Dodatkowe pomiary spadków poprzecznych i ukształtowania osi w planie należy wykonać w punktach głównych łuków poziomych</w:t>
            </w:r>
          </w:p>
        </w:tc>
      </w:tr>
    </w:tbl>
    <w:p>
      <w:pPr>
        <w:widowControl w:val="0"/>
        <w:spacing w:after="219" w:line="1" w:lineRule="exact"/>
      </w:pPr>
    </w:p>
    <w:p>
      <w:pPr>
        <w:pStyle w:val="Style2"/>
        <w:keepNext w:val="0"/>
        <w:keepLines w:val="0"/>
        <w:widowControl w:val="0"/>
        <w:numPr>
          <w:ilvl w:val="2"/>
          <w:numId w:val="3"/>
        </w:numPr>
        <w:shd w:val="clear" w:color="auto" w:fill="auto"/>
        <w:tabs>
          <w:tab w:pos="618" w:val="left"/>
        </w:tabs>
        <w:bidi w:val="0"/>
        <w:spacing w:before="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Szerokość koryta (profilowanego podłoża)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Szerokość koryta i profilowanego podłoża nie może różnić się od szerokości projektowanej o więcej niż +10 cm i -5 cm.</w:t>
      </w:r>
    </w:p>
    <w:p>
      <w:pPr>
        <w:pStyle w:val="Style2"/>
        <w:keepNext w:val="0"/>
        <w:keepLines w:val="0"/>
        <w:widowControl w:val="0"/>
        <w:numPr>
          <w:ilvl w:val="2"/>
          <w:numId w:val="3"/>
        </w:numPr>
        <w:shd w:val="clear" w:color="auto" w:fill="auto"/>
        <w:tabs>
          <w:tab w:pos="622" w:val="left"/>
        </w:tabs>
        <w:bidi w:val="0"/>
        <w:spacing w:before="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Równość koryta (profilowanego podłoża)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Nierówności podłużne koryta i profilowanego podłoża należy mierzyć 4-metrową łata zgodnie z normą BN-68/8931-04 [4].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16" w:lineRule="auto"/>
        <w:ind w:left="0" w:right="0" w:firstLine="7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Nierówności poprzeczne należy mierzyć 4-metrową łatą.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4" w:lineRule="auto"/>
        <w:ind w:left="0" w:right="0" w:firstLine="7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Nierówności nie mogą przekraczać 20 mm.</w:t>
      </w:r>
    </w:p>
    <w:p>
      <w:pPr>
        <w:pStyle w:val="Style2"/>
        <w:keepNext w:val="0"/>
        <w:keepLines w:val="0"/>
        <w:widowControl w:val="0"/>
        <w:numPr>
          <w:ilvl w:val="2"/>
          <w:numId w:val="3"/>
        </w:numPr>
        <w:shd w:val="clear" w:color="auto" w:fill="auto"/>
        <w:tabs>
          <w:tab w:pos="622" w:val="left"/>
        </w:tabs>
        <w:bidi w:val="0"/>
        <w:spacing w:before="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Spadki poprzeczne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Spadki poprzeczne koryta i profilowanego podłoża powinny być zgodne z dokumentacją projektową z tolerancją ± 0,5%.</w:t>
      </w:r>
    </w:p>
    <w:p>
      <w:pPr>
        <w:pStyle w:val="Style2"/>
        <w:keepNext w:val="0"/>
        <w:keepLines w:val="0"/>
        <w:widowControl w:val="0"/>
        <w:numPr>
          <w:ilvl w:val="2"/>
          <w:numId w:val="3"/>
        </w:numPr>
        <w:shd w:val="clear" w:color="auto" w:fill="auto"/>
        <w:tabs>
          <w:tab w:pos="622" w:val="left"/>
        </w:tabs>
        <w:bidi w:val="0"/>
        <w:spacing w:before="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Rzędne wysokościowe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Różnice pomiędzy rzędnymi wysokościowymi koryta lub wyprofilowanego podłoża i rzędnymi projektowanymi nie powinny przekraczać +1 cm, -2 cm.</w:t>
      </w:r>
    </w:p>
    <w:p>
      <w:pPr>
        <w:pStyle w:val="Style2"/>
        <w:keepNext w:val="0"/>
        <w:keepLines w:val="0"/>
        <w:widowControl w:val="0"/>
        <w:numPr>
          <w:ilvl w:val="2"/>
          <w:numId w:val="3"/>
        </w:numPr>
        <w:shd w:val="clear" w:color="auto" w:fill="auto"/>
        <w:tabs>
          <w:tab w:pos="622" w:val="left"/>
        </w:tabs>
        <w:bidi w:val="0"/>
        <w:spacing w:before="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Ukształtowanie osi w planie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Oś w planie nie może być przesunięta w stosunku do osi projektowanej o więcej niż ± 3 cm dla autostrad i dróg ekspresowych lub więcej niż± 5 cm dla pozostałych dróg.</w:t>
      </w:r>
    </w:p>
    <w:p>
      <w:pPr>
        <w:pStyle w:val="Style2"/>
        <w:keepNext w:val="0"/>
        <w:keepLines w:val="0"/>
        <w:widowControl w:val="0"/>
        <w:numPr>
          <w:ilvl w:val="2"/>
          <w:numId w:val="3"/>
        </w:numPr>
        <w:shd w:val="clear" w:color="auto" w:fill="auto"/>
        <w:tabs>
          <w:tab w:pos="622" w:val="left"/>
        </w:tabs>
        <w:bidi w:val="0"/>
        <w:spacing w:before="0" w:line="25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Zagęszczenie koryta (profilowanego podłoża)</w:t>
      </w:r>
      <w:r>
        <w:br w:type="page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Wskaźnik zagęszczenia koryta i wyprofilowanego podłoża określony wg BN-77/8931-12 [5] nie powinien być mniejszy od podanego w tablicy 1.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Wilgotność w czasie zagęszczania należy badać według PN-B-06714-17 [2]. Wilgotność gruntu podłoża powinna być równa wilgotności optymalnej z tolerancją od -20% do + 10%.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36" w:name="bookmark36"/>
      <w:bookmarkStart w:id="37" w:name="bookmark37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Zasady postępowania z wadliwie wykonanymi odcinkami koryta (profilowanego podłoża)</w:t>
      </w:r>
      <w:bookmarkEnd w:id="36"/>
      <w:bookmarkEnd w:id="37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30" w:val="left"/>
        </w:tabs>
        <w:bidi w:val="0"/>
        <w:spacing w:before="0" w:after="2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OBMIAR ROBÓT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38" w:name="bookmark38"/>
      <w:bookmarkStart w:id="39" w:name="bookmark39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zasady obmiaru robót</w:t>
      </w:r>
      <w:bookmarkEnd w:id="38"/>
      <w:bookmarkEnd w:id="39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zasady obmiaru robót podano w ST D-M-00.00.00 „Wymagania ogólne” pkt 7.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40" w:name="bookmark40"/>
      <w:bookmarkStart w:id="41" w:name="bookmark41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Jednostka obmiarowa</w:t>
      </w:r>
      <w:bookmarkEnd w:id="40"/>
      <w:bookmarkEnd w:id="41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Jednostką obmiarową jest m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pl-PL" w:eastAsia="pl-PL" w:bidi="pl-PL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 xml:space="preserve"> (metr kwadratowy) wykonanego i odebranego koryta.</w:t>
      </w:r>
    </w:p>
    <w:p>
      <w:pPr>
        <w:pStyle w:val="Style7"/>
        <w:keepNext/>
        <w:keepLines/>
        <w:widowControl w:val="0"/>
        <w:numPr>
          <w:ilvl w:val="0"/>
          <w:numId w:val="3"/>
        </w:numPr>
        <w:shd w:val="clear" w:color="auto" w:fill="auto"/>
        <w:tabs>
          <w:tab w:pos="330" w:val="left"/>
        </w:tabs>
        <w:bidi w:val="0"/>
        <w:spacing w:before="0" w:line="240" w:lineRule="auto"/>
        <w:ind w:left="0" w:right="0" w:firstLine="0"/>
        <w:jc w:val="left"/>
      </w:pPr>
      <w:bookmarkStart w:id="42" w:name="bookmark42"/>
      <w:bookmarkStart w:id="43" w:name="bookmark43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ODBIÓR ROBÓT</w:t>
      </w:r>
      <w:bookmarkEnd w:id="42"/>
      <w:bookmarkEnd w:id="43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zasady odbioru robót podano w ST D-M-00.00.00 „Wymagania ogólne” pkt 8.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Roboty uznaje się za wykonane zgodnie z dokumentacja projektową, SST i wymaganiami Inżyniera, jeżeli wszystkie pomiary i badania z zachowaniem tolerancji wg punktu 6 dały wyniki pozytywne.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30" w:val="left"/>
        </w:tabs>
        <w:bidi w:val="0"/>
        <w:spacing w:before="0" w:after="2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PODSTAWA PŁATNOŚCI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44" w:name="bookmark44"/>
      <w:bookmarkStart w:id="45" w:name="bookmark45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ustalenia dotyczące podstawy płatności</w:t>
      </w:r>
      <w:bookmarkEnd w:id="44"/>
      <w:bookmarkEnd w:id="45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Ogólne ustalenia dotyczące podstawy płatności podano w ST D-M-00.00.00 „Wymagania ogólne” pkt 9.</w:t>
      </w:r>
    </w:p>
    <w:p>
      <w:pPr>
        <w:pStyle w:val="Style7"/>
        <w:keepNext/>
        <w:keepLines/>
        <w:widowControl w:val="0"/>
        <w:numPr>
          <w:ilvl w:val="1"/>
          <w:numId w:val="3"/>
        </w:numPr>
        <w:shd w:val="clear" w:color="auto" w:fill="auto"/>
        <w:tabs>
          <w:tab w:pos="474" w:val="left"/>
        </w:tabs>
        <w:bidi w:val="0"/>
        <w:spacing w:before="0" w:line="240" w:lineRule="auto"/>
        <w:ind w:left="0" w:right="0" w:firstLine="0"/>
        <w:jc w:val="left"/>
      </w:pPr>
      <w:bookmarkStart w:id="46" w:name="bookmark46"/>
      <w:bookmarkStart w:id="47" w:name="bookmark47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Cena jednostki obmiarowej</w:t>
      </w:r>
      <w:bookmarkEnd w:id="46"/>
      <w:bookmarkEnd w:id="47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Cena wykonania 1 m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pl-PL" w:eastAsia="pl-PL" w:bidi="pl-PL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 xml:space="preserve"> koryta obejmuje: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prace pomiarowe i roboty przygotowawcze,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odspojenie gruntu z przerzutem na pobocze i rozplantowaniem,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załadunek nadmiaru odspojonego gruntu na środki transportowe i odwiezienie na odkład lub nasyp,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profilowanie dna koryta lub podłoża,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zagęszczenie,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utrzymanie koryta lub podłoża,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06" w:val="left"/>
        </w:tabs>
        <w:bidi w:val="0"/>
        <w:spacing w:before="0" w:after="5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przeprowadzenie pomiarów i badań laboratoryjnych, wymaganych w specyfikacji technicznej.</w:t>
      </w:r>
    </w:p>
    <w:p>
      <w:pPr>
        <w:pStyle w:val="Style7"/>
        <w:keepNext/>
        <w:keepLines/>
        <w:widowControl w:val="0"/>
        <w:numPr>
          <w:ilvl w:val="0"/>
          <w:numId w:val="3"/>
        </w:numPr>
        <w:shd w:val="clear" w:color="auto" w:fill="auto"/>
        <w:tabs>
          <w:tab w:pos="416" w:val="left"/>
        </w:tabs>
        <w:bidi w:val="0"/>
        <w:spacing w:before="0" w:after="220" w:line="240" w:lineRule="auto"/>
        <w:ind w:left="0" w:right="0" w:firstLine="0"/>
        <w:jc w:val="left"/>
      </w:pPr>
      <w:bookmarkStart w:id="48" w:name="bookmark48"/>
      <w:bookmarkStart w:id="49" w:name="bookmark49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PRZEPISY ZWIĄZANE</w:t>
      </w:r>
      <w:bookmarkEnd w:id="48"/>
      <w:bookmarkEnd w:id="49"/>
    </w:p>
    <w:p>
      <w:pPr>
        <w:pStyle w:val="Style7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0" w:name="bookmark50"/>
      <w:bookmarkStart w:id="51" w:name="bookmark51"/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Normy</w:t>
      </w:r>
      <w:bookmarkEnd w:id="50"/>
      <w:bookmarkEnd w:id="51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807085</wp:posOffset>
                </wp:positionH>
                <wp:positionV relativeFrom="paragraph">
                  <wp:posOffset>12700</wp:posOffset>
                </wp:positionV>
                <wp:extent cx="1090930" cy="999490"/>
                <wp:wrapSquare wrapText="right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90930" cy="99949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pos="350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PN-B-04481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pos="370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PN-/B-06714-17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pos="370" w:val="left"/>
                              </w:tabs>
                              <w:bidi w:val="0"/>
                              <w:spacing w:before="0" w:after="20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BN-64/8931-02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pos="374" w:val="left"/>
                              </w:tabs>
                              <w:bidi w:val="0"/>
                              <w:spacing w:before="0" w:after="20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BN-68/8931-04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pos="370" w:val="left"/>
                              </w:tabs>
                              <w:bidi w:val="0"/>
                              <w:spacing w:before="0" w:after="20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pl-PL" w:eastAsia="pl-PL" w:bidi="pl-PL"/>
                              </w:rPr>
                              <w:t>BN-77/8931-12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3.549999999999997pt;margin-top:1.pt;width:85.900000000000006pt;height:78.700000000000003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pos="35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PN-B-04481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pos="37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PN-/B-06714-17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pos="370" w:val="left"/>
                        </w:tabs>
                        <w:bidi w:val="0"/>
                        <w:spacing w:before="0" w:after="20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BN-64/8931-02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pos="374" w:val="left"/>
                        </w:tabs>
                        <w:bidi w:val="0"/>
                        <w:spacing w:before="0" w:after="20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BN-68/8931-04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pos="370" w:val="left"/>
                        </w:tabs>
                        <w:bidi w:val="0"/>
                        <w:spacing w:before="0" w:after="20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pl-PL" w:eastAsia="pl-PL" w:bidi="pl-PL"/>
                        </w:rPr>
                        <w:t>BN-77/8931-12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Grunty budowlane. Badania próbek gruntu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Kruszywa mineralne. Badania. Oznaczanie wilgotności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Drogi samochodowe. Oznaczanie modułu odkształcenia nawierzchni podatnych i podłoża przez obciążenie płytą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646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Drogi</w:t>
        <w:tab/>
        <w:t>samochodowe. Pomiar równości nawierzchni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planografem i łatą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pl-PL" w:eastAsia="pl-PL" w:bidi="pl-PL"/>
        </w:rPr>
        <w:t>Oznaczanie wskaźnika zagęszczenia gruntu</w:t>
      </w:r>
    </w:p>
    <w:sectPr>
      <w:footnotePr>
        <w:pos w:val="pageBottom"/>
        <w:numFmt w:val="decimal"/>
        <w:numRestart w:val="continuous"/>
      </w:footnotePr>
      <w:pgSz w:w="11900" w:h="16840"/>
      <w:pgMar w:top="1360" w:left="1130" w:right="1266" w:bottom="1822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</w:abstractNum>
  <w:abstractNum w:abstractNumId="4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Tekst treści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5">
    <w:name w:val="Nagłówek #1_"/>
    <w:basedOn w:val="DefaultParagraphFont"/>
    <w:link w:val="Styl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8">
    <w:name w:val="Nagłówek #2_"/>
    <w:basedOn w:val="DefaultParagraphFont"/>
    <w:link w:val="Styl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10">
    <w:name w:val="Podpis tabeli_"/>
    <w:basedOn w:val="DefaultParagraphFont"/>
    <w:link w:val="Styl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12">
    <w:name w:val="Inne_"/>
    <w:basedOn w:val="DefaultParagraphFont"/>
    <w:link w:val="Style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FFFFFF"/>
      <w:spacing w:after="1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Style4">
    <w:name w:val="Nagłówek #1"/>
    <w:basedOn w:val="Normal"/>
    <w:link w:val="CharStyle5"/>
    <w:pPr>
      <w:widowControl w:val="0"/>
      <w:shd w:val="clear" w:color="auto" w:fill="FFFFFF"/>
      <w:spacing w:before="220" w:after="270"/>
      <w:jc w:val="center"/>
      <w:outlineLvl w:val="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yle7">
    <w:name w:val="Nagłówek #2"/>
    <w:basedOn w:val="Normal"/>
    <w:link w:val="CharStyle8"/>
    <w:pPr>
      <w:widowControl w:val="0"/>
      <w:shd w:val="clear" w:color="auto" w:fill="FFFFFF"/>
      <w:spacing w:after="100"/>
      <w:outlineLvl w:val="1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Style9">
    <w:name w:val="Podpis tabeli"/>
    <w:basedOn w:val="Normal"/>
    <w:link w:val="CharStyle10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Style11">
    <w:name w:val="Inne"/>
    <w:basedOn w:val="Normal"/>
    <w:link w:val="CharStyle12"/>
    <w:pPr>
      <w:widowControl w:val="0"/>
      <w:shd w:val="clear" w:color="auto" w:fill="FFFFFF"/>
      <w:spacing w:after="1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C308_WD_24042910360</dc:title>
  <dc:subject/>
  <dc:creator/>
  <cp:keywords/>
</cp:coreProperties>
</file>